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ED0712" w:rsidRDefault="00893F22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68FF7" wp14:editId="423DC927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21</w:t>
                            </w:r>
                            <w:r w:rsidR="00405F0C">
                              <w:t>.04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21</w:t>
                      </w:r>
                      <w:r w:rsidR="00405F0C">
                        <w:t>.04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249EB" wp14:editId="4A9AA22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013A" wp14:editId="47E1C15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006F5">
        <w:rPr>
          <w:sz w:val="60"/>
          <w:szCs w:val="44"/>
        </w:rPr>
        <w:t>13-2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</w:p>
    <w:p w:rsidR="009D762D" w:rsidRPr="009006F5" w:rsidRDefault="00DE7541" w:rsidP="009006F5">
      <w:pPr>
        <w:shd w:val="clear" w:color="auto" w:fill="FFFFFF"/>
        <w:tabs>
          <w:tab w:val="left" w:pos="7304"/>
        </w:tabs>
        <w:ind w:left="147" w:right="147"/>
        <w:rPr>
          <w:color w:val="000000"/>
        </w:rPr>
      </w:pPr>
      <w:r>
        <w:rPr>
          <w:color w:val="000000"/>
        </w:rPr>
        <w:tab/>
      </w:r>
    </w:p>
    <w:p w:rsidR="009D762D" w:rsidRDefault="009D762D" w:rsidP="009D762D">
      <w:pPr>
        <w:pStyle w:val="3"/>
        <w:jc w:val="center"/>
        <w:rPr>
          <w:sz w:val="24"/>
        </w:rPr>
      </w:pPr>
      <w:r>
        <w:rPr>
          <w:sz w:val="24"/>
        </w:rPr>
        <w:t>ТОМСКАЯ ОБЛАСТЬ</w:t>
      </w:r>
    </w:p>
    <w:p w:rsidR="009D762D" w:rsidRDefault="009D762D" w:rsidP="009D762D">
      <w:pPr>
        <w:jc w:val="center"/>
        <w:rPr>
          <w:b/>
        </w:rPr>
      </w:pPr>
      <w:r>
        <w:rPr>
          <w:b/>
        </w:rPr>
        <w:t>ТОМСКИЙ РАЙОН</w:t>
      </w:r>
    </w:p>
    <w:p w:rsidR="009D762D" w:rsidRDefault="009D762D" w:rsidP="009D762D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9D762D" w:rsidRDefault="009D762D" w:rsidP="009D762D">
      <w:pPr>
        <w:jc w:val="center"/>
      </w:pPr>
    </w:p>
    <w:p w:rsidR="009D762D" w:rsidRDefault="009D762D" w:rsidP="009D762D">
      <w:pPr>
        <w:jc w:val="center"/>
        <w:rPr>
          <w:b/>
        </w:rPr>
      </w:pPr>
      <w:r>
        <w:rPr>
          <w:b/>
        </w:rPr>
        <w:t>РЕШЕНИЕ № 129а</w:t>
      </w:r>
    </w:p>
    <w:p w:rsidR="009D762D" w:rsidRDefault="009D762D" w:rsidP="009D762D">
      <w:pPr>
        <w:jc w:val="center"/>
      </w:pPr>
    </w:p>
    <w:p w:rsidR="009D762D" w:rsidRDefault="009D762D" w:rsidP="009D762D">
      <w:pPr>
        <w:jc w:val="center"/>
      </w:pPr>
    </w:p>
    <w:p w:rsidR="009D762D" w:rsidRDefault="009D762D" w:rsidP="009D762D">
      <w:pPr>
        <w:rPr>
          <w:u w:val="single"/>
        </w:rPr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  </w:t>
      </w:r>
      <w:r>
        <w:rPr>
          <w:u w:val="single"/>
        </w:rPr>
        <w:t>« 20  »  апреля   2017 г.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  <w:jc w:val="center"/>
        <w:rPr>
          <w:szCs w:val="28"/>
        </w:rPr>
      </w:pPr>
      <w:r>
        <w:t xml:space="preserve">                                                                                                     54 собрание 3-го созыва</w:t>
      </w:r>
    </w:p>
    <w:p w:rsidR="009D762D" w:rsidRDefault="009D762D" w:rsidP="009D762D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 xml:space="preserve">Об утверждении отчета об исполнении бюджета 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  <w:outlineLvl w:val="0"/>
      </w:pPr>
      <w:proofErr w:type="spellStart"/>
      <w:r>
        <w:t>Турунтаевского</w:t>
      </w:r>
      <w:proofErr w:type="spellEnd"/>
      <w:r>
        <w:t xml:space="preserve"> сельского поселения за 2016 год</w:t>
      </w:r>
    </w:p>
    <w:p w:rsidR="009D762D" w:rsidRPr="004B5CDD" w:rsidRDefault="009D762D" w:rsidP="009D762D">
      <w:pPr>
        <w:widowControl w:val="0"/>
        <w:autoSpaceDE w:val="0"/>
        <w:autoSpaceDN w:val="0"/>
        <w:adjustRightInd w:val="0"/>
        <w:spacing w:line="283" w:lineRule="exact"/>
      </w:pPr>
    </w:p>
    <w:p w:rsidR="009D762D" w:rsidRDefault="009D762D" w:rsidP="009D762D">
      <w:pPr>
        <w:ind w:firstLine="708"/>
        <w:jc w:val="both"/>
      </w:pPr>
      <w:r>
        <w:t xml:space="preserve">Рассмотрев проект отчета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2016 год, разработанный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 и представленный Главой </w:t>
      </w:r>
      <w:proofErr w:type="spellStart"/>
      <w:r>
        <w:t>Турунтаевского</w:t>
      </w:r>
      <w:proofErr w:type="spellEnd"/>
      <w: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9D762D" w:rsidRDefault="009D762D" w:rsidP="009D762D">
      <w:pPr>
        <w:ind w:firstLine="708"/>
        <w:rPr>
          <w:b/>
        </w:rPr>
      </w:pPr>
    </w:p>
    <w:p w:rsidR="009D762D" w:rsidRPr="001433C7" w:rsidRDefault="009D762D" w:rsidP="009D762D">
      <w:pPr>
        <w:ind w:left="708" w:firstLine="708"/>
        <w:outlineLvl w:val="0"/>
        <w:rPr>
          <w:b/>
        </w:rPr>
      </w:pPr>
      <w:r w:rsidRPr="001433C7">
        <w:rPr>
          <w:b/>
        </w:rPr>
        <w:t xml:space="preserve">Совет </w:t>
      </w:r>
      <w:proofErr w:type="spellStart"/>
      <w:r w:rsidRPr="001433C7">
        <w:rPr>
          <w:b/>
        </w:rPr>
        <w:t>Турунтаевского</w:t>
      </w:r>
      <w:proofErr w:type="spellEnd"/>
      <w:r w:rsidRPr="001433C7">
        <w:rPr>
          <w:b/>
        </w:rPr>
        <w:t xml:space="preserve"> сельского поселения решил:</w:t>
      </w:r>
    </w:p>
    <w:p w:rsidR="009D762D" w:rsidRPr="004B5CDD" w:rsidRDefault="009D762D" w:rsidP="009D762D">
      <w:pPr>
        <w:jc w:val="center"/>
        <w:outlineLvl w:val="0"/>
        <w:rPr>
          <w:b/>
        </w:rPr>
      </w:pPr>
      <w:r w:rsidRPr="004B5CDD">
        <w:t xml:space="preserve"> </w:t>
      </w:r>
    </w:p>
    <w:p w:rsidR="009D762D" w:rsidRPr="009D762D" w:rsidRDefault="009D762D" w:rsidP="009D762D">
      <w:pPr>
        <w:pStyle w:val="ab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>
        <w:rPr>
          <w:sz w:val="24"/>
          <w:szCs w:val="24"/>
        </w:rPr>
        <w:t>Турунтаевское</w:t>
      </w:r>
      <w:proofErr w:type="spellEnd"/>
      <w:r>
        <w:rPr>
          <w:sz w:val="24"/>
          <w:szCs w:val="24"/>
        </w:rPr>
        <w:t xml:space="preserve"> сельское поселение» за 2016 год согласно Приложению.</w:t>
      </w:r>
    </w:p>
    <w:p w:rsidR="009D762D" w:rsidRDefault="009D762D" w:rsidP="009D762D">
      <w:pPr>
        <w:pStyle w:val="ab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Главе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для подписания и опубликования.</w:t>
      </w:r>
    </w:p>
    <w:p w:rsidR="009D762D" w:rsidRDefault="009D762D" w:rsidP="009D762D">
      <w:pPr>
        <w:jc w:val="both"/>
      </w:pPr>
    </w:p>
    <w:p w:rsidR="009D762D" w:rsidRPr="002E2B6E" w:rsidRDefault="009D762D" w:rsidP="009D762D">
      <w:pPr>
        <w:spacing w:before="60" w:after="60"/>
        <w:jc w:val="both"/>
      </w:pPr>
      <w:r w:rsidRPr="002E2B6E">
        <w:t>Председатель Совета</w:t>
      </w:r>
      <w:r w:rsidRPr="002E2B6E">
        <w:tab/>
      </w:r>
    </w:p>
    <w:p w:rsidR="009D762D" w:rsidRPr="002E2B6E" w:rsidRDefault="009D762D" w:rsidP="009D762D">
      <w:proofErr w:type="spellStart"/>
      <w:r w:rsidRPr="002E2B6E">
        <w:t>Турунтаевского</w:t>
      </w:r>
      <w:proofErr w:type="spellEnd"/>
      <w:r w:rsidRPr="002E2B6E">
        <w:t xml:space="preserve"> сельского поселения</w:t>
      </w:r>
      <w:r w:rsidRPr="002E2B6E">
        <w:tab/>
        <w:t xml:space="preserve">                            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Pr="009D762D" w:rsidRDefault="009D762D" w:rsidP="009D762D">
      <w:pPr>
        <w:ind w:firstLine="720"/>
        <w:jc w:val="right"/>
      </w:pPr>
      <w:r w:rsidRPr="002E2B6E">
        <w:t xml:space="preserve">                                                                                          </w:t>
      </w:r>
      <w:r>
        <w:t xml:space="preserve">                            </w:t>
      </w:r>
    </w:p>
    <w:p w:rsidR="009D762D" w:rsidRPr="002E2B6E" w:rsidRDefault="009D762D" w:rsidP="009D762D">
      <w:pPr>
        <w:rPr>
          <w:iCs/>
        </w:rPr>
      </w:pPr>
      <w:r w:rsidRPr="002E2B6E">
        <w:rPr>
          <w:iCs/>
        </w:rPr>
        <w:t xml:space="preserve">Глава </w:t>
      </w:r>
      <w:proofErr w:type="spellStart"/>
      <w:r w:rsidRPr="002E2B6E">
        <w:rPr>
          <w:iCs/>
        </w:rPr>
        <w:t>Турунтаевского</w:t>
      </w:r>
      <w:proofErr w:type="spellEnd"/>
    </w:p>
    <w:p w:rsidR="009D762D" w:rsidRPr="002E2B6E" w:rsidRDefault="009D762D" w:rsidP="009D762D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</w:t>
      </w:r>
      <w:r>
        <w:t>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Pr="004B5CDD" w:rsidRDefault="009D762D" w:rsidP="009D762D"/>
    <w:p w:rsidR="009D762D" w:rsidRDefault="009D762D" w:rsidP="009D762D">
      <w:pPr>
        <w:jc w:val="center"/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D762D" w:rsidRDefault="009D762D" w:rsidP="009D762D">
      <w:pPr>
        <w:rPr>
          <w:b/>
          <w:szCs w:val="28"/>
        </w:rPr>
      </w:pPr>
    </w:p>
    <w:p w:rsidR="009006F5" w:rsidRDefault="009006F5" w:rsidP="009D762D">
      <w:pPr>
        <w:rPr>
          <w:b/>
          <w:szCs w:val="28"/>
        </w:rPr>
      </w:pPr>
    </w:p>
    <w:p w:rsidR="009D762D" w:rsidRDefault="009D762D" w:rsidP="009D762D">
      <w:pPr>
        <w:rPr>
          <w:i/>
        </w:rPr>
      </w:pPr>
    </w:p>
    <w:p w:rsidR="009D762D" w:rsidRPr="002A154A" w:rsidRDefault="009D762D" w:rsidP="009D762D">
      <w:pPr>
        <w:jc w:val="right"/>
        <w:outlineLvl w:val="0"/>
        <w:rPr>
          <w:i/>
        </w:rPr>
      </w:pPr>
      <w:r w:rsidRPr="002A154A">
        <w:rPr>
          <w:i/>
        </w:rPr>
        <w:lastRenderedPageBreak/>
        <w:t xml:space="preserve">Приложение </w:t>
      </w:r>
    </w:p>
    <w:p w:rsidR="009D762D" w:rsidRDefault="009D762D" w:rsidP="009D762D">
      <w:pPr>
        <w:jc w:val="right"/>
        <w:rPr>
          <w:i/>
        </w:rPr>
      </w:pPr>
      <w:r w:rsidRPr="002A154A">
        <w:rPr>
          <w:i/>
        </w:rPr>
        <w:t xml:space="preserve">к </w:t>
      </w:r>
      <w:r>
        <w:rPr>
          <w:i/>
        </w:rPr>
        <w:t xml:space="preserve">решению Совета </w:t>
      </w:r>
    </w:p>
    <w:p w:rsidR="009D762D" w:rsidRPr="002A154A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</w:t>
      </w:r>
      <w:r w:rsidRPr="002A154A">
        <w:rPr>
          <w:i/>
        </w:rPr>
        <w:t xml:space="preserve"> </w:t>
      </w:r>
    </w:p>
    <w:p w:rsidR="009D762D" w:rsidRDefault="009D762D" w:rsidP="009D762D">
      <w:pPr>
        <w:jc w:val="right"/>
        <w:rPr>
          <w:i/>
        </w:rPr>
      </w:pPr>
      <w:r>
        <w:rPr>
          <w:i/>
        </w:rPr>
        <w:t>№ 129а от  «20» апреля 2017г.</w:t>
      </w:r>
    </w:p>
    <w:p w:rsidR="009D762D" w:rsidRPr="005A4832" w:rsidRDefault="009D762D" w:rsidP="009D762D">
      <w:pPr>
        <w:jc w:val="center"/>
        <w:outlineLvl w:val="0"/>
        <w:rPr>
          <w:b/>
        </w:rPr>
      </w:pPr>
      <w:r w:rsidRPr="005A4832">
        <w:rPr>
          <w:b/>
        </w:rPr>
        <w:t xml:space="preserve">Отчет </w:t>
      </w:r>
    </w:p>
    <w:p w:rsidR="009D762D" w:rsidRPr="005A4832" w:rsidRDefault="009D762D" w:rsidP="009D762D">
      <w:pPr>
        <w:jc w:val="center"/>
        <w:rPr>
          <w:b/>
        </w:rPr>
      </w:pPr>
      <w:r w:rsidRPr="005A4832">
        <w:rPr>
          <w:b/>
        </w:rPr>
        <w:t xml:space="preserve">об исполнении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5A4832">
        <w:rPr>
          <w:b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5A4832">
          <w:rPr>
            <w:b/>
          </w:rPr>
          <w:t>201</w:t>
        </w:r>
        <w:r>
          <w:rPr>
            <w:b/>
          </w:rPr>
          <w:t>6</w:t>
        </w:r>
        <w:r w:rsidRPr="005A4832">
          <w:rPr>
            <w:b/>
          </w:rPr>
          <w:t xml:space="preserve"> г</w:t>
        </w:r>
      </w:smartTag>
      <w:r w:rsidRPr="005A4832">
        <w:rPr>
          <w:b/>
        </w:rPr>
        <w:t>.</w:t>
      </w:r>
    </w:p>
    <w:p w:rsidR="009D762D" w:rsidRDefault="009D762D" w:rsidP="009D762D">
      <w:pPr>
        <w:jc w:val="right"/>
        <w:rPr>
          <w:i/>
        </w:rPr>
      </w:pPr>
    </w:p>
    <w:p w:rsidR="009D762D" w:rsidRDefault="009D762D" w:rsidP="009D762D">
      <w:pPr>
        <w:numPr>
          <w:ilvl w:val="0"/>
          <w:numId w:val="30"/>
        </w:numPr>
        <w:tabs>
          <w:tab w:val="clear" w:pos="720"/>
          <w:tab w:val="num" w:pos="0"/>
        </w:tabs>
        <w:ind w:left="0" w:firstLine="900"/>
        <w:jc w:val="both"/>
      </w:pPr>
      <w:r>
        <w:t xml:space="preserve">Утвердить основные характеристики бюджета </w:t>
      </w:r>
      <w:proofErr w:type="spellStart"/>
      <w:r w:rsidRPr="002E2B6E">
        <w:rPr>
          <w:iCs/>
        </w:rPr>
        <w:t>Турунтаевского</w:t>
      </w:r>
      <w:proofErr w:type="spellEnd"/>
      <w:r>
        <w:t xml:space="preserve"> сельского поселения:</w:t>
      </w:r>
    </w:p>
    <w:p w:rsidR="009D762D" w:rsidRDefault="009D762D" w:rsidP="009D762D">
      <w:pPr>
        <w:tabs>
          <w:tab w:val="num" w:pos="0"/>
        </w:tabs>
        <w:ind w:firstLine="900"/>
        <w:jc w:val="both"/>
      </w:pPr>
    </w:p>
    <w:p w:rsidR="009D762D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доходов бюджета в сумме – 13208,6 тыс. руб.;</w:t>
      </w:r>
    </w:p>
    <w:p w:rsidR="009D762D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расходов бюджета в сумме – 12937,5 тыс. руб.; </w:t>
      </w:r>
    </w:p>
    <w:p w:rsidR="009D762D" w:rsidRPr="005A4832" w:rsidRDefault="009D762D" w:rsidP="009D762D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профицит бюджета в сумме – 271,1 тыс. руб.</w:t>
      </w:r>
    </w:p>
    <w:p w:rsidR="009D762D" w:rsidRDefault="009D762D" w:rsidP="009D762D">
      <w:pPr>
        <w:tabs>
          <w:tab w:val="left" w:pos="5145"/>
        </w:tabs>
        <w:rPr>
          <w:i/>
        </w:rPr>
      </w:pPr>
    </w:p>
    <w:p w:rsidR="009D762D" w:rsidRPr="002E2B6E" w:rsidRDefault="009D762D" w:rsidP="009D762D">
      <w:r>
        <w:t xml:space="preserve"> 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 w:rsidRPr="00346593">
        <w:t xml:space="preserve"> </w:t>
      </w:r>
      <w:r>
        <w:t xml:space="preserve">                 _____________________С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9D762D" w:rsidRDefault="009D762D" w:rsidP="009D762D">
      <w:r w:rsidRPr="004B5CDD">
        <w:t xml:space="preserve">           </w:t>
      </w:r>
      <w:r>
        <w:t xml:space="preserve">                       </w:t>
      </w:r>
      <w:r>
        <w:tab/>
      </w:r>
    </w:p>
    <w:p w:rsidR="009D762D" w:rsidRPr="006A0C54" w:rsidRDefault="009D762D" w:rsidP="009D762D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1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9D762D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>.</w:t>
      </w:r>
    </w:p>
    <w:p w:rsidR="009D762D" w:rsidRPr="00126013" w:rsidRDefault="009D762D" w:rsidP="009D762D">
      <w:pPr>
        <w:ind w:firstLine="567"/>
        <w:jc w:val="center"/>
        <w:outlineLvl w:val="0"/>
        <w:rPr>
          <w:b/>
        </w:rPr>
      </w:pPr>
      <w:r w:rsidRPr="00126013">
        <w:rPr>
          <w:b/>
        </w:rPr>
        <w:t xml:space="preserve">Отчет </w:t>
      </w:r>
    </w:p>
    <w:p w:rsidR="009D762D" w:rsidRPr="00126013" w:rsidRDefault="009D762D" w:rsidP="009D762D">
      <w:pPr>
        <w:ind w:firstLine="567"/>
        <w:jc w:val="center"/>
        <w:rPr>
          <w:b/>
        </w:rPr>
      </w:pPr>
      <w:r w:rsidRPr="00126013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сельского поселения по кодам бюджетной класс</w:t>
      </w:r>
      <w:r>
        <w:rPr>
          <w:b/>
        </w:rPr>
        <w:t>ификации доходов бюджета за 2016</w:t>
      </w:r>
      <w:r w:rsidRPr="00126013">
        <w:rPr>
          <w:b/>
        </w:rPr>
        <w:t xml:space="preserve"> год</w:t>
      </w:r>
    </w:p>
    <w:p w:rsidR="009D762D" w:rsidRPr="00471FBC" w:rsidRDefault="009D762D" w:rsidP="009D762D">
      <w:pPr>
        <w:jc w:val="right"/>
        <w:rPr>
          <w:i/>
        </w:rPr>
      </w:pPr>
      <w:r w:rsidRPr="00471FBC">
        <w:rPr>
          <w:i/>
        </w:rPr>
        <w:t>в  тыс. руб.</w:t>
      </w:r>
    </w:p>
    <w:tbl>
      <w:tblPr>
        <w:tblW w:w="10348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245"/>
        <w:gridCol w:w="1417"/>
      </w:tblGrid>
      <w:tr w:rsidR="009D762D" w:rsidRPr="00037BA0" w:rsidTr="009D762D">
        <w:trPr>
          <w:cantSplit/>
          <w:trHeight w:val="56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КВД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 xml:space="preserve">Исполнено </w:t>
            </w:r>
          </w:p>
        </w:tc>
      </w:tr>
      <w:tr w:rsidR="009D762D" w:rsidRPr="00037BA0" w:rsidTr="009D762D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доходов местного бюджета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53590F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D762D" w:rsidRPr="00037BA0" w:rsidTr="009D762D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37BA0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10102000010000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10302000010000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10601000000000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10606000000000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11100000000000</w:t>
            </w:r>
            <w:r w:rsidRPr="000563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</w:t>
            </w:r>
            <w:r w:rsidRPr="0005631A">
              <w:rPr>
                <w:sz w:val="20"/>
                <w:szCs w:val="20"/>
              </w:rPr>
              <w:t xml:space="preserve">, находящегося в </w:t>
            </w:r>
            <w:r>
              <w:rPr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20000000000000000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20201001100000 151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20203015100000 151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20204014100000 151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55779B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55779B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</w:tr>
      <w:tr w:rsidR="009D762D" w:rsidTr="009D76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Default="009D762D" w:rsidP="0001772D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62D" w:rsidRPr="0005631A" w:rsidRDefault="009D762D" w:rsidP="0001772D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20204999100000 151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2D" w:rsidRPr="0005631A" w:rsidRDefault="009D762D" w:rsidP="0001772D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2D" w:rsidRPr="0005631A" w:rsidRDefault="009D762D" w:rsidP="00017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</w:tr>
      <w:tr w:rsidR="009D762D" w:rsidRPr="00037BA0" w:rsidTr="009D762D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563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5631A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13208,8</w:t>
            </w:r>
          </w:p>
        </w:tc>
      </w:tr>
    </w:tbl>
    <w:p w:rsidR="009D762D" w:rsidRDefault="009D762D" w:rsidP="009D762D">
      <w:pPr>
        <w:jc w:val="both"/>
        <w:rPr>
          <w:b/>
          <w:sz w:val="28"/>
          <w:szCs w:val="28"/>
        </w:rPr>
      </w:pPr>
    </w:p>
    <w:p w:rsidR="009D762D" w:rsidRPr="00650BA6" w:rsidRDefault="009D762D" w:rsidP="009D762D">
      <w:pPr>
        <w:jc w:val="right"/>
        <w:outlineLvl w:val="0"/>
        <w:rPr>
          <w:i/>
        </w:rPr>
      </w:pPr>
      <w:r w:rsidRPr="00650BA6">
        <w:rPr>
          <w:i/>
        </w:rPr>
        <w:t>Приложение 2</w:t>
      </w:r>
    </w:p>
    <w:p w:rsidR="009D762D" w:rsidRPr="00650BA6" w:rsidRDefault="009D762D" w:rsidP="009D762D">
      <w:pPr>
        <w:jc w:val="right"/>
        <w:rPr>
          <w:i/>
        </w:rPr>
      </w:pPr>
      <w:r w:rsidRPr="00650BA6">
        <w:rPr>
          <w:i/>
        </w:rPr>
        <w:t xml:space="preserve">к Отчету об исполнении бюджета </w:t>
      </w:r>
    </w:p>
    <w:p w:rsidR="009D762D" w:rsidRPr="00650BA6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 w:rsidRPr="00650BA6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650BA6">
          <w:rPr>
            <w:i/>
          </w:rPr>
          <w:t>201</w:t>
        </w:r>
        <w:r>
          <w:rPr>
            <w:i/>
          </w:rPr>
          <w:t>6</w:t>
        </w:r>
        <w:r w:rsidRPr="00650BA6">
          <w:rPr>
            <w:i/>
          </w:rPr>
          <w:t xml:space="preserve"> г</w:t>
        </w:r>
      </w:smartTag>
      <w:r w:rsidRPr="00650BA6">
        <w:rPr>
          <w:i/>
        </w:rPr>
        <w:t>.</w:t>
      </w:r>
    </w:p>
    <w:p w:rsidR="009D762D" w:rsidRPr="00650BA6" w:rsidRDefault="009D762D" w:rsidP="009D762D">
      <w:pPr>
        <w:ind w:firstLine="567"/>
        <w:jc w:val="center"/>
        <w:outlineLvl w:val="0"/>
        <w:rPr>
          <w:b/>
        </w:rPr>
      </w:pPr>
      <w:r w:rsidRPr="00650BA6">
        <w:rPr>
          <w:b/>
        </w:rPr>
        <w:t xml:space="preserve">Отчет </w:t>
      </w:r>
    </w:p>
    <w:p w:rsidR="009D762D" w:rsidRPr="00650BA6" w:rsidRDefault="009D762D" w:rsidP="009D762D">
      <w:pPr>
        <w:ind w:firstLine="567"/>
        <w:jc w:val="center"/>
        <w:rPr>
          <w:b/>
        </w:rPr>
      </w:pPr>
      <w:r w:rsidRPr="00650BA6">
        <w:rPr>
          <w:b/>
        </w:rPr>
        <w:t xml:space="preserve">об исполнении доходов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650BA6">
        <w:rPr>
          <w:b/>
          <w:bCs/>
        </w:rPr>
        <w:t xml:space="preserve"> сельского поселения</w:t>
      </w:r>
      <w:r w:rsidRPr="00650BA6">
        <w:rPr>
          <w:b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b/>
        </w:rPr>
        <w:t>6</w:t>
      </w:r>
      <w:r w:rsidRPr="00650BA6">
        <w:rPr>
          <w:b/>
        </w:rPr>
        <w:t xml:space="preserve"> год</w:t>
      </w:r>
    </w:p>
    <w:p w:rsidR="009D762D" w:rsidRPr="00650BA6" w:rsidRDefault="009D762D" w:rsidP="009D762D">
      <w:pPr>
        <w:jc w:val="right"/>
        <w:rPr>
          <w:i/>
        </w:rPr>
      </w:pPr>
      <w:r w:rsidRPr="00650BA6">
        <w:rPr>
          <w:i/>
        </w:rPr>
        <w:t>в тыс. руб.</w:t>
      </w:r>
    </w:p>
    <w:tbl>
      <w:tblPr>
        <w:tblW w:w="10620" w:type="dxa"/>
        <w:tblInd w:w="-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9D762D" w:rsidRPr="00650BA6" w:rsidTr="009D762D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9D762D" w:rsidRPr="00650BA6" w:rsidTr="009D762D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4D2C8E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107,48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</w:pPr>
            <w:r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</w:t>
            </w:r>
            <w:r>
              <w:rPr>
                <w:sz w:val="20"/>
                <w:szCs w:val="20"/>
              </w:rPr>
              <w:t>2</w:t>
            </w:r>
            <w:r w:rsidRPr="004C07B9">
              <w:rPr>
                <w:sz w:val="20"/>
                <w:szCs w:val="20"/>
              </w:rPr>
              <w:t>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565E49" w:rsidRDefault="009D762D" w:rsidP="0001772D">
            <w:pPr>
              <w:jc w:val="center"/>
              <w:rPr>
                <w:sz w:val="20"/>
                <w:szCs w:val="20"/>
              </w:rPr>
            </w:pPr>
            <w:r w:rsidRPr="00565E49">
              <w:rPr>
                <w:sz w:val="20"/>
                <w:szCs w:val="20"/>
              </w:rPr>
              <w:t>609,4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182 101020100121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</w:t>
            </w:r>
            <w:r>
              <w:rPr>
                <w:sz w:val="20"/>
                <w:szCs w:val="20"/>
              </w:rPr>
              <w:t>екса Российской Федерации (пени</w:t>
            </w:r>
            <w:r w:rsidRPr="004C07B9">
              <w:rPr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182 10102020011000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4C07B9">
              <w:rPr>
                <w:sz w:val="20"/>
                <w:szCs w:val="20"/>
              </w:rPr>
              <w:lastRenderedPageBreak/>
              <w:t xml:space="preserve">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lastRenderedPageBreak/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182 10102020012100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182 10102020013000 110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</w:pPr>
            <w:r>
              <w:rPr>
                <w:sz w:val="20"/>
                <w:szCs w:val="20"/>
              </w:rPr>
              <w:t>4615,3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</w:pPr>
            <w: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</w:pPr>
            <w:smartTag w:uri="urn:schemas-microsoft-com:office:smarttags" w:element="PersonName">
              <w: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182 101020300121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</w:t>
            </w:r>
            <w:r>
              <w:rPr>
                <w:sz w:val="20"/>
                <w:szCs w:val="20"/>
              </w:rPr>
              <w:t xml:space="preserve">пени </w:t>
            </w:r>
            <w:r w:rsidRPr="004C07B9">
              <w:rPr>
                <w:sz w:val="20"/>
                <w:szCs w:val="20"/>
              </w:rPr>
              <w:t>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5ABC">
              <w:rPr>
                <w:sz w:val="20"/>
                <w:szCs w:val="20"/>
              </w:rPr>
              <w:t>инжекторных</w:t>
            </w:r>
            <w:proofErr w:type="spellEnd"/>
            <w:r w:rsidRPr="00E75ABC">
              <w:rPr>
                <w:sz w:val="20"/>
                <w:szCs w:val="20"/>
              </w:rPr>
              <w:t xml:space="preserve">) двигателей, подлежащие распределению между </w:t>
            </w:r>
            <w:r w:rsidRPr="00E75ABC"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565E49" w:rsidRDefault="009D762D" w:rsidP="0001772D">
            <w:pPr>
              <w:jc w:val="center"/>
              <w:rPr>
                <w:sz w:val="20"/>
                <w:szCs w:val="20"/>
              </w:rPr>
            </w:pPr>
            <w:r w:rsidRPr="00565E49">
              <w:rPr>
                <w:sz w:val="20"/>
                <w:szCs w:val="20"/>
              </w:rPr>
              <w:lastRenderedPageBreak/>
              <w:t>13,1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lastRenderedPageBreak/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</w:tr>
      <w:tr w:rsidR="009D762D" w:rsidRPr="00E75ABC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E75ABC" w:rsidRDefault="009D762D" w:rsidP="0001772D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  <w:r>
              <w:rPr>
                <w:sz w:val="20"/>
                <w:szCs w:val="20"/>
              </w:rPr>
              <w:t>74,9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</w:t>
            </w:r>
            <w:r>
              <w:rPr>
                <w:sz w:val="20"/>
                <w:szCs w:val="20"/>
              </w:rPr>
              <w:t>оселений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3100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31</w:t>
            </w:r>
            <w:r w:rsidRPr="004C07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182 10900000000000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E75ABC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182 10904000000000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182 10904050000000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обязательствам, возникшим до 1 января 2006 года)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182 10904053100000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обязательствам, возникшим до 1 января 2006 года) мобилизуемый на территориях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000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4C07B9">
              <w:rPr>
                <w:sz w:val="20"/>
                <w:szCs w:val="20"/>
              </w:rPr>
              <w:t xml:space="preserve">(за исключением имущества </w:t>
            </w:r>
            <w:r>
              <w:rPr>
                <w:sz w:val="20"/>
                <w:szCs w:val="20"/>
              </w:rPr>
              <w:t>бюджетных и</w:t>
            </w:r>
            <w:r w:rsidRPr="004C07B9">
              <w:rPr>
                <w:sz w:val="20"/>
                <w:szCs w:val="20"/>
              </w:rPr>
              <w:t xml:space="preserve">  автономных учреждений</w:t>
            </w:r>
            <w:r>
              <w:rPr>
                <w:sz w:val="20"/>
                <w:szCs w:val="20"/>
              </w:rPr>
              <w:t>, а также имущества государственных и муниципальных унитарных предприятий, в том числе казенных</w:t>
            </w:r>
            <w:r w:rsidRPr="004C07B9"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D2C8E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200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платы за </w:t>
            </w:r>
            <w:r>
              <w:rPr>
                <w:sz w:val="20"/>
                <w:szCs w:val="20"/>
              </w:rPr>
              <w:lastRenderedPageBreak/>
              <w:t xml:space="preserve"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бюджетных и автономных учреждений)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lastRenderedPageBreak/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111050</w:t>
            </w:r>
            <w:r>
              <w:rPr>
                <w:sz w:val="20"/>
                <w:szCs w:val="20"/>
              </w:rPr>
              <w:t>251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муниципальных бюджетных и автономных учреждений)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000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доходы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прав,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ихся</w:t>
            </w:r>
            <w:r w:rsidRPr="004C07B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государственной и муниципальной </w:t>
            </w:r>
            <w:r w:rsidRPr="004C07B9">
              <w:rPr>
                <w:sz w:val="20"/>
                <w:szCs w:val="20"/>
              </w:rPr>
              <w:t xml:space="preserve">собственности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государственных и 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D2C8E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400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поступления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proofErr w:type="gramStart"/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егося</w:t>
            </w:r>
            <w:r w:rsidRPr="004C07B9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государственной и муниципальной </w:t>
            </w:r>
            <w:r w:rsidRPr="004C07B9">
              <w:rPr>
                <w:sz w:val="20"/>
                <w:szCs w:val="20"/>
              </w:rPr>
              <w:t xml:space="preserve">собственности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государственных и 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  <w:r w:rsidRPr="004C07B9">
              <w:rPr>
                <w:sz w:val="20"/>
                <w:szCs w:val="20"/>
              </w:rPr>
              <w:t xml:space="preserve"> 111090</w:t>
            </w:r>
            <w:r>
              <w:rPr>
                <w:sz w:val="20"/>
                <w:szCs w:val="20"/>
              </w:rPr>
              <w:t>451</w:t>
            </w:r>
            <w:r w:rsidRPr="004C07B9">
              <w:rPr>
                <w:sz w:val="20"/>
                <w:szCs w:val="20"/>
              </w:rPr>
              <w:t>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поступления</w:t>
            </w:r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использования имущества</w:t>
            </w:r>
            <w:proofErr w:type="gramStart"/>
            <w:r w:rsidRPr="004C0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07B9">
              <w:rPr>
                <w:sz w:val="20"/>
                <w:szCs w:val="20"/>
              </w:rPr>
              <w:t>находящ</w:t>
            </w:r>
            <w:r>
              <w:rPr>
                <w:sz w:val="20"/>
                <w:szCs w:val="20"/>
              </w:rPr>
              <w:t>егося</w:t>
            </w:r>
            <w:r w:rsidRPr="004C07B9">
              <w:rPr>
                <w:sz w:val="20"/>
                <w:szCs w:val="20"/>
              </w:rPr>
              <w:t xml:space="preserve"> в собственности</w:t>
            </w:r>
            <w:r>
              <w:rPr>
                <w:sz w:val="20"/>
                <w:szCs w:val="20"/>
              </w:rPr>
              <w:t xml:space="preserve"> сельских поселений</w:t>
            </w:r>
            <w:r w:rsidRPr="004C07B9">
              <w:rPr>
                <w:sz w:val="20"/>
                <w:szCs w:val="20"/>
              </w:rPr>
              <w:t xml:space="preserve"> (за исключением имущества бюджетных и автономных учреждений, а также имущества </w:t>
            </w:r>
            <w:r>
              <w:rPr>
                <w:sz w:val="20"/>
                <w:szCs w:val="20"/>
              </w:rPr>
              <w:t>муниципальных</w:t>
            </w:r>
            <w:r w:rsidRPr="004C07B9">
              <w:rPr>
                <w:sz w:val="20"/>
                <w:szCs w:val="20"/>
              </w:rPr>
              <w:t xml:space="preserve">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20201001100000 151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948 20203000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бюджетной системы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948 20203015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20203015100000 151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20204014000000 151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20204014100000 151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  <w:r w:rsidRPr="004C07B9">
              <w:rPr>
                <w:sz w:val="20"/>
                <w:szCs w:val="20"/>
              </w:rPr>
              <w:t xml:space="preserve"> 20204999000000 151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D762D" w:rsidRPr="00650BA6" w:rsidTr="009D762D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20204999100000 151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2D" w:rsidRPr="004C07B9" w:rsidRDefault="009D762D" w:rsidP="0001772D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C07B9" w:rsidRDefault="009D762D" w:rsidP="0001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9D762D" w:rsidRPr="00051440" w:rsidTr="009D762D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50BA6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650BA6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13208,8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2D" w:rsidRPr="004539B0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101,1</w:t>
            </w:r>
          </w:p>
        </w:tc>
      </w:tr>
    </w:tbl>
    <w:p w:rsidR="009D762D" w:rsidRDefault="009D762D" w:rsidP="009D762D">
      <w:pPr>
        <w:outlineLvl w:val="0"/>
        <w:rPr>
          <w:i/>
        </w:rPr>
      </w:pPr>
    </w:p>
    <w:p w:rsidR="009D762D" w:rsidRPr="006A0C54" w:rsidRDefault="009D762D" w:rsidP="009D762D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3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9D762D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 xml:space="preserve">.  </w:t>
      </w:r>
    </w:p>
    <w:p w:rsidR="009D762D" w:rsidRDefault="009D762D" w:rsidP="009D762D">
      <w:pPr>
        <w:jc w:val="center"/>
        <w:outlineLvl w:val="0"/>
        <w:rPr>
          <w:b/>
        </w:rPr>
      </w:pPr>
      <w:r w:rsidRPr="00DD25B5">
        <w:rPr>
          <w:b/>
        </w:rPr>
        <w:t xml:space="preserve">Отчет </w:t>
      </w:r>
    </w:p>
    <w:p w:rsidR="009D762D" w:rsidRDefault="009D762D" w:rsidP="009D762D">
      <w:pPr>
        <w:jc w:val="center"/>
        <w:rPr>
          <w:b/>
        </w:rPr>
      </w:pPr>
      <w:r w:rsidRPr="00DD25B5">
        <w:rPr>
          <w:b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DD25B5">
        <w:rPr>
          <w:b/>
        </w:rPr>
        <w:t xml:space="preserve">сельского поселения </w:t>
      </w:r>
      <w:r>
        <w:rPr>
          <w:b/>
        </w:rPr>
        <w:t>за 2016</w:t>
      </w:r>
      <w:r w:rsidRPr="00DD25B5">
        <w:rPr>
          <w:b/>
        </w:rPr>
        <w:t xml:space="preserve"> г.</w:t>
      </w:r>
    </w:p>
    <w:p w:rsidR="009D762D" w:rsidRDefault="009D762D" w:rsidP="009D762D">
      <w:pPr>
        <w:jc w:val="center"/>
        <w:rPr>
          <w:b/>
        </w:rPr>
      </w:pPr>
    </w:p>
    <w:tbl>
      <w:tblPr>
        <w:tblW w:w="516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3311"/>
        <w:gridCol w:w="953"/>
        <w:gridCol w:w="953"/>
        <w:gridCol w:w="1211"/>
        <w:gridCol w:w="698"/>
        <w:gridCol w:w="1117"/>
        <w:gridCol w:w="1117"/>
        <w:gridCol w:w="1114"/>
      </w:tblGrid>
      <w:tr w:rsidR="009D762D" w:rsidRPr="005923BB" w:rsidTr="0001772D">
        <w:trPr>
          <w:trHeight w:val="270"/>
        </w:trPr>
        <w:tc>
          <w:tcPr>
            <w:tcW w:w="158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D762D" w:rsidRPr="005923BB" w:rsidTr="0001772D">
        <w:trPr>
          <w:trHeight w:val="630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13161,1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12937,5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98,03</w:t>
            </w: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iCs/>
                <w:sz w:val="20"/>
                <w:szCs w:val="20"/>
              </w:rPr>
              <w:t>Турунтаевского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</w:tr>
      <w:tr w:rsidR="009D762D" w:rsidRPr="005923BB" w:rsidTr="0001772D">
        <w:trPr>
          <w:trHeight w:val="285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4554,4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4531,8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99,5</w:t>
            </w:r>
          </w:p>
        </w:tc>
      </w:tr>
      <w:tr w:rsidR="009D762D" w:rsidRPr="005923BB" w:rsidTr="0001772D">
        <w:trPr>
          <w:trHeight w:val="318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316F16" w:rsidRDefault="009D762D" w:rsidP="0001772D">
            <w:pPr>
              <w:rPr>
                <w:i/>
                <w:iCs/>
                <w:sz w:val="20"/>
                <w:szCs w:val="20"/>
              </w:rPr>
            </w:pPr>
            <w:r w:rsidRPr="00316F1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 xml:space="preserve">9900100000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  <w:r w:rsidRPr="00974E2A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2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18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744B7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1490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AF427B" w:rsidRDefault="009D762D" w:rsidP="0001772D">
            <w:pPr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AF427B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810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923BB" w:rsidRDefault="009D762D" w:rsidP="0001772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5923BB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3836,4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3831,8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865DD9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99,8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3E4AFD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53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5923BB" w:rsidRDefault="009D762D" w:rsidP="0001772D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3E4AFD" w:rsidRDefault="009D762D" w:rsidP="0001772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BD7F5E" w:rsidRDefault="009D762D" w:rsidP="0001772D">
            <w:pPr>
              <w:rPr>
                <w:i/>
                <w:sz w:val="20"/>
                <w:szCs w:val="20"/>
              </w:rPr>
            </w:pPr>
            <w:r w:rsidRPr="00BD7F5E">
              <w:rPr>
                <w:i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1256,3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1251,9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BD7F5E" w:rsidRDefault="009D762D" w:rsidP="0001772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1256,3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1251,9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99,6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317,8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314,7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  <w:highlight w:val="cyan"/>
              </w:rPr>
            </w:pPr>
            <w:r>
              <w:rPr>
                <w:iCs/>
                <w:sz w:val="18"/>
                <w:szCs w:val="18"/>
              </w:rPr>
              <w:t>938,5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937,2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99,9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налогов, сборов и иных обязательных платежей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прочих налоговых сборов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96,7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Фонд непредвиденных расходов сельских поселений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32,0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90,6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  <w:r w:rsidRPr="00974E2A">
              <w:rPr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98,1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r w:rsidRPr="00974E2A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Уплата налогов, сборов и иных обязательных платежей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850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38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Уплата</w:t>
            </w:r>
            <w:r>
              <w:rPr>
                <w:sz w:val="18"/>
                <w:szCs w:val="18"/>
              </w:rPr>
              <w:t xml:space="preserve"> прочих налогов, сборов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0113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9900000120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852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  <w:lang w:val="en-US"/>
              </w:rPr>
              <w:t>9</w:t>
            </w:r>
            <w:r w:rsidRPr="00974E2A">
              <w:rPr>
                <w:sz w:val="18"/>
                <w:szCs w:val="18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74E2A">
              <w:rPr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  <w:lang w:val="en-US"/>
              </w:rPr>
              <w:t>9</w:t>
            </w:r>
            <w:r w:rsidRPr="00974E2A">
              <w:rPr>
                <w:sz w:val="18"/>
                <w:szCs w:val="18"/>
              </w:rPr>
              <w:t>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FE2E40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FE2E40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D762D" w:rsidRPr="00E50B54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autoSpaceDE w:val="0"/>
              <w:autoSpaceDN w:val="0"/>
              <w:adjustRightInd w:val="0"/>
              <w:outlineLvl w:val="4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0300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</w:t>
            </w:r>
            <w:r w:rsidRPr="00974E2A">
              <w:rPr>
                <w:sz w:val="18"/>
                <w:szCs w:val="18"/>
              </w:rPr>
              <w:t xml:space="preserve"> чрезвычайных ситуаций и </w:t>
            </w:r>
            <w:r>
              <w:rPr>
                <w:sz w:val="18"/>
                <w:szCs w:val="18"/>
              </w:rPr>
              <w:t xml:space="preserve">последствий </w:t>
            </w:r>
            <w:r w:rsidRPr="00974E2A">
              <w:rPr>
                <w:sz w:val="18"/>
                <w:szCs w:val="18"/>
              </w:rPr>
              <w:t>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974E2A">
              <w:rPr>
                <w:sz w:val="18"/>
                <w:szCs w:val="18"/>
              </w:rPr>
              <w:t>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</w:t>
            </w:r>
            <w:r w:rsidRPr="00974E2A">
              <w:rPr>
                <w:sz w:val="18"/>
                <w:szCs w:val="18"/>
              </w:rPr>
              <w:t xml:space="preserve"> з</w:t>
            </w:r>
            <w:r>
              <w:rPr>
                <w:sz w:val="18"/>
                <w:szCs w:val="18"/>
              </w:rPr>
              <w:t>акупки</w:t>
            </w:r>
            <w:r w:rsidRPr="00974E2A">
              <w:rPr>
                <w:sz w:val="18"/>
                <w:szCs w:val="18"/>
              </w:rPr>
              <w:t xml:space="preserve"> товаров, работ и   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230,0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88,5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  <w:lang w:val="en-US"/>
              </w:rPr>
            </w:pPr>
            <w:r w:rsidRPr="00974E2A">
              <w:rPr>
                <w:b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Повышение качества безопасности участников дорожного движения на автомобильных дорогах МО «томский район»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7848100000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Дорожная деятельность в отношении автомобильных дорог местного значения, а так же осуществление иных полномочий в области использования автомобильных дорого и осуществление дорожной деятельности в соответствии с законом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561,3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0409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9900000411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sz w:val="18"/>
                <w:szCs w:val="18"/>
              </w:rPr>
            </w:pPr>
            <w:r w:rsidRPr="00974E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 w:rsidRPr="00974E2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1230,2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1106,6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89,9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center"/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center"/>
              <w:rPr>
                <w:bCs/>
                <w:i/>
                <w:sz w:val="18"/>
                <w:szCs w:val="18"/>
              </w:rPr>
            </w:pPr>
            <w:r w:rsidRPr="00974E2A">
              <w:rPr>
                <w:bCs/>
                <w:i/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384,7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294,7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76,6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184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  <w:lang w:val="en-US"/>
              </w:rPr>
            </w:pPr>
            <w:r w:rsidRPr="00974E2A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 xml:space="preserve">Иные закупки товаров, работ и услуг для государственных (муниципальных) </w:t>
            </w:r>
            <w:r w:rsidRPr="00974E2A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lastRenderedPageBreak/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5340E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  <w:r w:rsidRPr="00974E2A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535,4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502,7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974E2A" w:rsidRDefault="009D762D" w:rsidP="0001772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93,9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 w:rsidRPr="00974E2A">
              <w:rPr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 w:rsidRPr="00974E2A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 w:rsidRPr="00974E2A"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92,4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поселений за счет средств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</w:t>
            </w:r>
            <w:r w:rsidRPr="00974E2A">
              <w:rPr>
                <w:sz w:val="18"/>
                <w:szCs w:val="18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251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Прочая закупка товаров, работ и   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569"/>
        </w:trPr>
        <w:tc>
          <w:tcPr>
            <w:tcW w:w="1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933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4223,7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4176,2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99,4</w:t>
            </w:r>
          </w:p>
        </w:tc>
      </w:tr>
      <w:tr w:rsidR="009D762D" w:rsidRPr="005923BB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b/>
                <w:iCs/>
                <w:sz w:val="18"/>
                <w:szCs w:val="18"/>
              </w:rPr>
              <w:t>Культура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4223,7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4176,2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99,4</w:t>
            </w:r>
          </w:p>
        </w:tc>
      </w:tr>
      <w:tr w:rsidR="009D762D" w:rsidRPr="005923BB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9900040650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9900000810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Pr="00974E2A">
              <w:rPr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5923BB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9900000810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center"/>
              <w:rPr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2811,7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974E2A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9900040660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7227DC" w:rsidRDefault="009D762D" w:rsidP="0001772D">
            <w:pPr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i/>
                <w:sz w:val="18"/>
                <w:szCs w:val="18"/>
              </w:rPr>
            </w:pPr>
            <w:r w:rsidRPr="00974E2A">
              <w:rPr>
                <w:sz w:val="18"/>
                <w:szCs w:val="18"/>
              </w:rPr>
              <w:t>Субсидия бюджетным учреждениям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610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974E2A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9900000820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364,0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right"/>
              <w:rPr>
                <w:sz w:val="18"/>
                <w:szCs w:val="18"/>
              </w:rPr>
            </w:pPr>
            <w:r w:rsidRPr="007227DC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3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rPr>
                  <w:sz w:val="18"/>
                  <w:szCs w:val="18"/>
                </w:rPr>
                <w:t>-</w:t>
              </w:r>
            </w:smartTag>
            <w:r>
              <w:rPr>
                <w:sz w:val="18"/>
                <w:szCs w:val="18"/>
              </w:rPr>
              <w:t xml:space="preserve">досуговой и профессиональной деятельности, направленной на творческую </w:t>
            </w:r>
            <w:r>
              <w:rPr>
                <w:sz w:val="18"/>
                <w:szCs w:val="18"/>
              </w:rPr>
              <w:lastRenderedPageBreak/>
              <w:t>самореализацию населения Томского района»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0801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2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284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gramStart"/>
            <w:r w:rsidRPr="00B311A9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311A9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spellStart"/>
            <w:r w:rsidRPr="00B311A9">
              <w:rPr>
                <w:sz w:val="18"/>
                <w:szCs w:val="18"/>
              </w:rPr>
              <w:t>Софинансирование</w:t>
            </w:r>
            <w:proofErr w:type="spellEnd"/>
            <w:r w:rsidRPr="00B311A9">
              <w:rPr>
                <w:sz w:val="18"/>
                <w:szCs w:val="18"/>
              </w:rPr>
              <w:t xml:space="preserve">  расходов на оказание помощи в ремонте жилых помещений отдельных категорий граждан (ветеранов ВОВ) за счет средств местного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7227DC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360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старшего поколения Томского района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7636000000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763600000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762D" w:rsidRPr="00B311A9" w:rsidRDefault="009D762D" w:rsidP="0001772D">
            <w:pPr>
              <w:jc w:val="both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60605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9900040310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proofErr w:type="spellStart"/>
            <w:r w:rsidRPr="00B311A9">
              <w:rPr>
                <w:sz w:val="18"/>
                <w:szCs w:val="18"/>
              </w:rPr>
              <w:t>Софинансирование</w:t>
            </w:r>
            <w:proofErr w:type="spellEnd"/>
            <w:r w:rsidRPr="00B311A9">
              <w:rPr>
                <w:sz w:val="18"/>
                <w:szCs w:val="1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9900000910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9900000910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612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B311A9" w:rsidRDefault="009D762D" w:rsidP="0001772D">
            <w:pPr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b/>
                <w:sz w:val="18"/>
                <w:szCs w:val="18"/>
              </w:rPr>
            </w:pPr>
            <w:r w:rsidRPr="00B311A9">
              <w:rPr>
                <w:b/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Межбюджетные трансферты бюджетам муниципальных районов из бюджетов сельских поселений на осуществление части полномочий, исполняемых Управлением ЖКХ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129,0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r w:rsidRPr="00B311A9">
              <w:rPr>
                <w:sz w:val="18"/>
                <w:szCs w:val="18"/>
              </w:rPr>
              <w:lastRenderedPageBreak/>
              <w:t>сельских поселений на осуществление полномочий по определению поставщиков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000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9900000620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 w:rsidRPr="00B311A9">
              <w:rPr>
                <w:sz w:val="18"/>
                <w:szCs w:val="18"/>
              </w:rPr>
              <w:t>100,0</w:t>
            </w:r>
          </w:p>
        </w:tc>
      </w:tr>
      <w:tr w:rsidR="009D762D" w:rsidRPr="00B311A9" w:rsidTr="0001772D">
        <w:trPr>
          <w:trHeight w:val="315"/>
        </w:trPr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9900000630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62D" w:rsidRPr="00B311A9" w:rsidRDefault="009D762D" w:rsidP="00017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9D762D" w:rsidRDefault="009D762D" w:rsidP="009D762D">
      <w:pPr>
        <w:rPr>
          <w:b/>
        </w:rPr>
      </w:pPr>
    </w:p>
    <w:p w:rsidR="009D762D" w:rsidRPr="000C40AF" w:rsidRDefault="009D762D" w:rsidP="009D762D">
      <w:pPr>
        <w:jc w:val="right"/>
        <w:outlineLvl w:val="0"/>
        <w:rPr>
          <w:i/>
        </w:rPr>
      </w:pPr>
      <w:r w:rsidRPr="000C40AF">
        <w:rPr>
          <w:i/>
        </w:rPr>
        <w:t xml:space="preserve">Приложение 4 </w:t>
      </w:r>
    </w:p>
    <w:p w:rsidR="009D762D" w:rsidRPr="006A0C54" w:rsidRDefault="009D762D" w:rsidP="009D762D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9D762D" w:rsidRPr="00792CDB" w:rsidRDefault="009D762D" w:rsidP="009D762D">
      <w:pPr>
        <w:jc w:val="right"/>
      </w:pP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 сельского поселения за </w:t>
      </w:r>
      <w:smartTag w:uri="urn:schemas-microsoft-com:office:smarttags" w:element="metricconverter">
        <w:smartTagPr>
          <w:attr w:name="ProductID" w:val="2016 г"/>
        </w:smartTagPr>
        <w:r>
          <w:rPr>
            <w:i/>
          </w:rPr>
          <w:t>2016 г</w:t>
        </w:r>
      </w:smartTag>
      <w:r>
        <w:rPr>
          <w:i/>
        </w:rPr>
        <w:t>.</w:t>
      </w:r>
    </w:p>
    <w:p w:rsidR="009D762D" w:rsidRDefault="009D762D" w:rsidP="009D762D">
      <w:pPr>
        <w:keepNext/>
        <w:jc w:val="center"/>
        <w:outlineLvl w:val="0"/>
        <w:rPr>
          <w:b/>
        </w:rPr>
      </w:pPr>
      <w:r>
        <w:rPr>
          <w:b/>
        </w:rPr>
        <w:t xml:space="preserve">Отчет </w:t>
      </w:r>
    </w:p>
    <w:p w:rsidR="009D762D" w:rsidRPr="009D762D" w:rsidRDefault="009D762D" w:rsidP="009D762D">
      <w:pPr>
        <w:keepNext/>
        <w:jc w:val="center"/>
        <w:outlineLvl w:val="0"/>
        <w:rPr>
          <w:b/>
        </w:rPr>
      </w:pPr>
      <w:r>
        <w:rPr>
          <w:b/>
        </w:rPr>
        <w:t xml:space="preserve">об исполнении источников финансирования дефицита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>
        <w:rPr>
          <w:b/>
        </w:rPr>
        <w:t>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2016 год</w:t>
      </w:r>
    </w:p>
    <w:p w:rsidR="009D762D" w:rsidRPr="000759CD" w:rsidRDefault="009D762D" w:rsidP="009D762D">
      <w:pPr>
        <w:keepNext/>
        <w:tabs>
          <w:tab w:val="left" w:pos="5940"/>
          <w:tab w:val="right" w:pos="10205"/>
        </w:tabs>
        <w:jc w:val="right"/>
        <w:outlineLvl w:val="0"/>
        <w:rPr>
          <w:b/>
          <w:i/>
        </w:rPr>
      </w:pPr>
      <w:r w:rsidRPr="000759CD">
        <w:rPr>
          <w:i/>
        </w:rPr>
        <w:t>в тыс. руб.</w:t>
      </w:r>
    </w:p>
    <w:tbl>
      <w:tblPr>
        <w:tblW w:w="10620" w:type="dxa"/>
        <w:tblInd w:w="-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9D762D" w:rsidRPr="001354D8" w:rsidTr="009D762D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023434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023434">
              <w:rPr>
                <w:color w:val="000000"/>
                <w:sz w:val="20"/>
                <w:szCs w:val="20"/>
              </w:rPr>
              <w:t xml:space="preserve"> </w:t>
            </w: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ind w:left="150" w:hanging="15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Исполнено</w:t>
            </w:r>
          </w:p>
          <w:p w:rsidR="009D762D" w:rsidRPr="00023434" w:rsidRDefault="009D762D" w:rsidP="0001772D">
            <w:pPr>
              <w:rPr>
                <w:color w:val="000000"/>
                <w:sz w:val="20"/>
                <w:szCs w:val="20"/>
              </w:rPr>
            </w:pPr>
          </w:p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762D" w:rsidRPr="001354D8" w:rsidTr="009D762D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762D" w:rsidRPr="001354D8" w:rsidTr="009D762D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271,3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26222,2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271,3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13061,1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bCs/>
                  <w:color w:val="000000"/>
                  <w:sz w:val="20"/>
                  <w:szCs w:val="20"/>
                </w:rPr>
                <w:t>-</w:t>
              </w:r>
            </w:smartTag>
            <w:r>
              <w:rPr>
                <w:bCs/>
                <w:color w:val="000000"/>
                <w:sz w:val="20"/>
                <w:szCs w:val="20"/>
              </w:rPr>
              <w:t>13310,0</w:t>
            </w:r>
          </w:p>
        </w:tc>
      </w:tr>
      <w:tr w:rsidR="009D762D" w:rsidRPr="001354D8" w:rsidTr="009D762D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13161,1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13038,7</w:t>
            </w:r>
          </w:p>
        </w:tc>
      </w:tr>
    </w:tbl>
    <w:p w:rsidR="009D762D" w:rsidRDefault="009D762D" w:rsidP="009D762D">
      <w:pPr>
        <w:rPr>
          <w:i/>
        </w:rPr>
      </w:pPr>
    </w:p>
    <w:p w:rsidR="009D762D" w:rsidRPr="00070EEB" w:rsidRDefault="009D762D" w:rsidP="009D762D">
      <w:pPr>
        <w:jc w:val="right"/>
        <w:outlineLvl w:val="0"/>
        <w:rPr>
          <w:i/>
        </w:rPr>
      </w:pPr>
      <w:r w:rsidRPr="00070EEB">
        <w:rPr>
          <w:i/>
        </w:rPr>
        <w:t>Приложение 5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jc w:val="right"/>
      </w:pP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Default="009D762D" w:rsidP="009D762D">
      <w:pPr>
        <w:jc w:val="center"/>
        <w:rPr>
          <w:b/>
        </w:rPr>
      </w:pPr>
      <w:r w:rsidRPr="00070EEB">
        <w:rPr>
          <w:b/>
        </w:rPr>
        <w:t xml:space="preserve">об исполнении объема межбюджетных трансфертов бюджету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126013">
        <w:rPr>
          <w:b/>
        </w:rPr>
        <w:t xml:space="preserve"> </w:t>
      </w:r>
      <w:r w:rsidRPr="00070EEB">
        <w:rPr>
          <w:b/>
        </w:rPr>
        <w:t>сельского поселения за 201</w:t>
      </w:r>
      <w:r>
        <w:rPr>
          <w:b/>
        </w:rPr>
        <w:t>6</w:t>
      </w:r>
      <w:r w:rsidRPr="00070EEB">
        <w:rPr>
          <w:b/>
        </w:rPr>
        <w:t xml:space="preserve"> год из бюджета Томского района</w:t>
      </w:r>
    </w:p>
    <w:p w:rsidR="009D762D" w:rsidRDefault="009D762D" w:rsidP="009D762D">
      <w:pPr>
        <w:jc w:val="center"/>
        <w:rPr>
          <w:b/>
        </w:rPr>
      </w:pPr>
    </w:p>
    <w:tbl>
      <w:tblPr>
        <w:tblW w:w="100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6311,6</w:t>
            </w:r>
          </w:p>
        </w:tc>
        <w:tc>
          <w:tcPr>
            <w:tcW w:w="1418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6311,6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полномочий по первичному воинскому учету на территориях, где </w:t>
            </w:r>
            <w:r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179,0</w:t>
            </w:r>
          </w:p>
        </w:tc>
        <w:tc>
          <w:tcPr>
            <w:tcW w:w="1418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179,0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lastRenderedPageBreak/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418,0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418,0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F93C63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на оплату труда руководителям и специалиста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107,0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59,5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55,6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</w:tcPr>
          <w:p w:rsidR="009D762D" w:rsidRPr="00CA3A92" w:rsidRDefault="009D762D" w:rsidP="0001772D">
            <w:r w:rsidRPr="00CA3A92"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jc w:val="right"/>
            </w:pPr>
            <w:r>
              <w:t>841,0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841,0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 w:rsidRPr="00CA3A92"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 w:rsidRPr="00A27F32">
              <w:t>10,0</w:t>
            </w:r>
          </w:p>
        </w:tc>
        <w:tc>
          <w:tcPr>
            <w:tcW w:w="1418" w:type="dxa"/>
          </w:tcPr>
          <w:p w:rsidR="009D762D" w:rsidRPr="00CA3A9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proofErr w:type="gramStart"/>
            <w:r>
              <w:t>н</w:t>
            </w:r>
            <w:r w:rsidRPr="006A704C">
              <w:t xml:space="preserve">а </w:t>
            </w:r>
            <w:r>
              <w:t>осуществление полномочий по</w:t>
            </w:r>
            <w:r w:rsidRPr="006A704C">
              <w:t xml:space="preserve"> дорожной деятельности</w:t>
            </w:r>
            <w:r>
              <w:t xml:space="preserve">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 w:rsidRPr="00A27F32">
              <w:t>561,3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561,3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364,0</w:t>
            </w:r>
            <w:r w:rsidRPr="00A27F32">
              <w:t xml:space="preserve"> 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364,0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 трансферты</w:t>
            </w:r>
            <w:r>
              <w:t xml:space="preserve"> на реализацию мероприятий муниципальной программы </w:t>
            </w:r>
            <w:r w:rsidRPr="00B26851">
              <w:t>«Развитие культурно</w:t>
            </w:r>
            <w:smartTag w:uri="urn:schemas-microsoft-com:office:smarttags" w:element="PersonName">
              <w:r w:rsidRPr="00B26851">
                <w:t>-</w:t>
              </w:r>
            </w:smartTag>
            <w:r w:rsidRPr="00B26851"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  <w:r w:rsidRPr="00A27F32">
              <w:t>00,0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0E1C9B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>ы на покрытие расчетного финансового разрыва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1010,0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1010,0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FF467E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>ежбюджетные</w:t>
            </w:r>
            <w:r w:rsidRPr="00CA3A92">
              <w:t xml:space="preserve"> трансферт</w:t>
            </w:r>
            <w:r>
              <w:t xml:space="preserve">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t>качества жизни граждан старшего поколения Томского района</w:t>
            </w:r>
            <w:proofErr w:type="gramEnd"/>
            <w:r>
              <w:t>»</w:t>
            </w:r>
          </w:p>
        </w:tc>
        <w:tc>
          <w:tcPr>
            <w:tcW w:w="1275" w:type="dxa"/>
          </w:tcPr>
          <w:p w:rsidR="009D762D" w:rsidRPr="00A27F32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35,0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A25089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Pr="00CA3A92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>трансферты (для оплаты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востановительных</w:t>
            </w:r>
            <w:proofErr w:type="spellEnd"/>
            <w:r>
              <w:t xml:space="preserve"> работ на водопроводной башне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одломск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№46-П от 11.02.2016 из ФЧС АТР)</w:t>
            </w:r>
            <w:proofErr w:type="gramEnd"/>
          </w:p>
        </w:tc>
        <w:tc>
          <w:tcPr>
            <w:tcW w:w="1275" w:type="dxa"/>
          </w:tcPr>
          <w:p w:rsidR="009D762D" w:rsidRPr="00A94D15" w:rsidRDefault="009D762D" w:rsidP="0001772D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>
              <w:t>62,1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62,1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 w:rsidRPr="00A25089"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>трансферты (для оплаты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востановительных</w:t>
            </w:r>
            <w:proofErr w:type="spellEnd"/>
            <w:r>
              <w:t xml:space="preserve"> работ на водопроводной башне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урунтаево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№431-П от 17.11.2016 из ФЧС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75,0</w:t>
            </w:r>
          </w:p>
        </w:tc>
        <w:tc>
          <w:tcPr>
            <w:tcW w:w="1418" w:type="dxa"/>
          </w:tcPr>
          <w:p w:rsidR="009D762D" w:rsidRPr="00A25089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ремонт теплотрассы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Новоархангельское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№267-П от 15.07.2016 из ФНР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95,0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95,0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приобретение </w:t>
            </w:r>
            <w:r>
              <w:lastRenderedPageBreak/>
              <w:t xml:space="preserve">тепловой изоляции для тепловых сетей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Новоархангельское</w:t>
            </w:r>
            <w:proofErr w:type="spellEnd"/>
            <w:r>
              <w:t xml:space="preserve">) </w:t>
            </w:r>
            <w:proofErr w:type="spellStart"/>
            <w:r>
              <w:t>Расп</w:t>
            </w:r>
            <w:proofErr w:type="spellEnd"/>
            <w:r>
              <w:t xml:space="preserve">. </w:t>
            </w:r>
            <w:proofErr w:type="gramStart"/>
            <w:r>
              <w:t>АТР №47-П от 11.02.2016 из ФНР АТР)</w:t>
            </w:r>
            <w:proofErr w:type="gram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40,9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40,9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№284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22.07.2016 на установку пожарного водоема в д. </w:t>
            </w:r>
            <w:proofErr w:type="spellStart"/>
            <w:r>
              <w:t>Халдеево</w:t>
            </w:r>
            <w:proofErr w:type="spellEnd"/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CA3A92" w:rsidTr="0001772D">
        <w:trPr>
          <w:trHeight w:val="262"/>
        </w:trPr>
        <w:tc>
          <w:tcPr>
            <w:tcW w:w="5889" w:type="dxa"/>
            <w:vAlign w:val="bottom"/>
          </w:tcPr>
          <w:p w:rsidR="009D762D" w:rsidRDefault="009D762D" w:rsidP="0001772D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№226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10.06.2016 на обустройство противопожарных (минерализованных) полос для защиты населенных пунктов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  <w:tc>
          <w:tcPr>
            <w:tcW w:w="1418" w:type="dxa"/>
          </w:tcPr>
          <w:p w:rsidR="009D762D" w:rsidRDefault="009D762D" w:rsidP="0001772D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  <w:tc>
          <w:tcPr>
            <w:tcW w:w="1418" w:type="dxa"/>
          </w:tcPr>
          <w:p w:rsidR="009D762D" w:rsidRDefault="009D762D" w:rsidP="0001772D">
            <w:pPr>
              <w:jc w:val="right"/>
            </w:pPr>
            <w:r>
              <w:t>100,0</w:t>
            </w:r>
          </w:p>
        </w:tc>
      </w:tr>
      <w:tr w:rsidR="009D762D" w:rsidRPr="005908FD" w:rsidTr="0001772D">
        <w:trPr>
          <w:trHeight w:val="262"/>
        </w:trPr>
        <w:tc>
          <w:tcPr>
            <w:tcW w:w="5889" w:type="dxa"/>
            <w:vAlign w:val="bottom"/>
          </w:tcPr>
          <w:p w:rsidR="009D762D" w:rsidRPr="005908FD" w:rsidRDefault="009D762D" w:rsidP="0001772D">
            <w:pPr>
              <w:rPr>
                <w:b/>
              </w:rPr>
            </w:pPr>
            <w:r w:rsidRPr="005908FD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10539,9</w:t>
            </w:r>
          </w:p>
        </w:tc>
        <w:tc>
          <w:tcPr>
            <w:tcW w:w="1418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10492,4</w:t>
            </w:r>
          </w:p>
        </w:tc>
        <w:tc>
          <w:tcPr>
            <w:tcW w:w="1418" w:type="dxa"/>
          </w:tcPr>
          <w:p w:rsidR="009D762D" w:rsidRPr="005908FD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:rsidR="009D762D" w:rsidRDefault="009D762D" w:rsidP="009D762D">
      <w:pPr>
        <w:outlineLvl w:val="0"/>
        <w:rPr>
          <w:highlight w:val="yellow"/>
        </w:rPr>
      </w:pPr>
    </w:p>
    <w:p w:rsidR="009D762D" w:rsidRPr="00070EEB" w:rsidRDefault="009D762D" w:rsidP="009D762D">
      <w:pPr>
        <w:tabs>
          <w:tab w:val="left" w:pos="551"/>
        </w:tabs>
        <w:outlineLvl w:val="0"/>
        <w:rPr>
          <w:i/>
        </w:rPr>
      </w:pPr>
      <w:r w:rsidRPr="009D762D">
        <w:tab/>
      </w:r>
      <w:r w:rsidRPr="00070EEB">
        <w:rPr>
          <w:i/>
        </w:rPr>
        <w:t xml:space="preserve">Приложение 6 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tabs>
          <w:tab w:val="left" w:pos="2151"/>
        </w:tabs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tabs>
          <w:tab w:val="left" w:pos="2151"/>
        </w:tabs>
      </w:pPr>
    </w:p>
    <w:p w:rsidR="009D762D" w:rsidRPr="00070EEB" w:rsidRDefault="009D762D" w:rsidP="009D762D">
      <w:pPr>
        <w:keepNext/>
        <w:tabs>
          <w:tab w:val="left" w:pos="5940"/>
          <w:tab w:val="right" w:pos="10205"/>
        </w:tabs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 безвозмездных поступлениях, полученных бюджетом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070EEB">
        <w:rPr>
          <w:b/>
        </w:rPr>
        <w:t xml:space="preserve"> сельского поселения от других бюджетов бюджетной системы Российской Федерации за 201</w:t>
      </w:r>
      <w:r>
        <w:rPr>
          <w:b/>
        </w:rPr>
        <w:t>6</w:t>
      </w:r>
      <w:r w:rsidRPr="00070EEB">
        <w:rPr>
          <w:b/>
        </w:rPr>
        <w:t xml:space="preserve"> год </w:t>
      </w:r>
    </w:p>
    <w:p w:rsidR="009D762D" w:rsidRPr="00070EEB" w:rsidRDefault="009D762D" w:rsidP="009D762D">
      <w:pPr>
        <w:jc w:val="center"/>
        <w:rPr>
          <w:b/>
        </w:rPr>
      </w:pPr>
    </w:p>
    <w:p w:rsidR="009D762D" w:rsidRPr="00070EEB" w:rsidRDefault="009D762D" w:rsidP="009D762D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070EEB">
        <w:rPr>
          <w:i/>
        </w:rPr>
        <w:t>в тыс. руб.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67"/>
        <w:gridCol w:w="1161"/>
        <w:gridCol w:w="1327"/>
        <w:gridCol w:w="829"/>
      </w:tblGrid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D762D" w:rsidRPr="00070EEB" w:rsidTr="009D762D">
        <w:trPr>
          <w:trHeight w:val="73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762D" w:rsidRPr="00070EEB" w:rsidTr="009D762D">
        <w:trPr>
          <w:trHeight w:val="274"/>
        </w:trPr>
        <w:tc>
          <w:tcPr>
            <w:tcW w:w="686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1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327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29" w:type="dxa"/>
            <w:shd w:val="clear" w:color="auto" w:fill="auto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9D762D" w:rsidRPr="00070EEB" w:rsidRDefault="009D762D" w:rsidP="009D762D">
      <w:pPr>
        <w:jc w:val="right"/>
        <w:rPr>
          <w:i/>
        </w:rPr>
      </w:pPr>
    </w:p>
    <w:p w:rsidR="009D762D" w:rsidRPr="00070EEB" w:rsidRDefault="009D762D" w:rsidP="009D762D">
      <w:pPr>
        <w:jc w:val="right"/>
        <w:rPr>
          <w:i/>
        </w:rPr>
      </w:pP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>Приложение 7</w:t>
      </w: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9D762D" w:rsidRPr="00070EEB" w:rsidRDefault="009D762D" w:rsidP="009D762D">
      <w:pPr>
        <w:jc w:val="right"/>
        <w:rPr>
          <w:i/>
        </w:rPr>
      </w:pPr>
      <w:proofErr w:type="spellStart"/>
      <w:r>
        <w:rPr>
          <w:i/>
        </w:rPr>
        <w:t>Турунтаев</w:t>
      </w:r>
      <w:r w:rsidRPr="00070EEB">
        <w:rPr>
          <w:i/>
        </w:rPr>
        <w:t>ского</w:t>
      </w:r>
      <w:proofErr w:type="spellEnd"/>
      <w:r w:rsidRPr="00070EEB">
        <w:rPr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16 г"/>
        </w:smartTagPr>
        <w:r w:rsidRPr="00070EEB">
          <w:rPr>
            <w:i/>
          </w:rPr>
          <w:t>201</w:t>
        </w:r>
        <w:r>
          <w:rPr>
            <w:i/>
          </w:rPr>
          <w:t>6</w:t>
        </w:r>
        <w:r w:rsidRPr="00070EEB">
          <w:rPr>
            <w:i/>
          </w:rPr>
          <w:t xml:space="preserve"> г</w:t>
        </w:r>
      </w:smartTag>
      <w:r w:rsidRPr="00070EEB">
        <w:rPr>
          <w:i/>
        </w:rPr>
        <w:t>.</w:t>
      </w:r>
    </w:p>
    <w:p w:rsidR="009D762D" w:rsidRPr="00070EEB" w:rsidRDefault="009D762D" w:rsidP="009D762D">
      <w:pPr>
        <w:jc w:val="center"/>
        <w:rPr>
          <w:i/>
        </w:rPr>
      </w:pPr>
    </w:p>
    <w:p w:rsidR="009D762D" w:rsidRPr="00070EEB" w:rsidRDefault="009D762D" w:rsidP="009D762D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9D762D" w:rsidRPr="00070EEB" w:rsidRDefault="009D762D" w:rsidP="009D762D">
      <w:pPr>
        <w:ind w:firstLine="720"/>
        <w:jc w:val="center"/>
        <w:rPr>
          <w:b/>
        </w:rPr>
      </w:pPr>
      <w:r w:rsidRPr="00070EEB">
        <w:rPr>
          <w:b/>
        </w:rPr>
        <w:t xml:space="preserve">по объему межбюджетных трансфертов бюджету Томского района из бюджета </w:t>
      </w:r>
      <w:proofErr w:type="spellStart"/>
      <w:r>
        <w:rPr>
          <w:b/>
        </w:rPr>
        <w:t>Турунтаев</w:t>
      </w:r>
      <w:r w:rsidRPr="005A4832">
        <w:rPr>
          <w:b/>
        </w:rPr>
        <w:t>ского</w:t>
      </w:r>
      <w:proofErr w:type="spellEnd"/>
      <w:r w:rsidRPr="00070EEB">
        <w:rPr>
          <w:b/>
        </w:rPr>
        <w:t xml:space="preserve"> сельского поселения за 201</w:t>
      </w:r>
      <w:r>
        <w:rPr>
          <w:b/>
        </w:rPr>
        <w:t>6</w:t>
      </w:r>
      <w:r w:rsidRPr="00070EEB">
        <w:rPr>
          <w:b/>
        </w:rPr>
        <w:t xml:space="preserve"> год</w:t>
      </w:r>
    </w:p>
    <w:p w:rsidR="009D762D" w:rsidRPr="00070EEB" w:rsidRDefault="009D762D" w:rsidP="009D762D">
      <w:pPr>
        <w:jc w:val="right"/>
        <w:rPr>
          <w:b/>
        </w:rPr>
      </w:pPr>
    </w:p>
    <w:p w:rsidR="009D762D" w:rsidRPr="00070EEB" w:rsidRDefault="009D762D" w:rsidP="009D762D">
      <w:pPr>
        <w:jc w:val="right"/>
        <w:rPr>
          <w:i/>
        </w:rPr>
      </w:pPr>
      <w:r w:rsidRPr="00070EEB">
        <w:rPr>
          <w:i/>
        </w:rPr>
        <w:t>в тыс. руб.</w:t>
      </w:r>
    </w:p>
    <w:tbl>
      <w:tblPr>
        <w:tblW w:w="1053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09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19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D762D" w:rsidRPr="00070EEB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</w:p>
        </w:tc>
        <w:tc>
          <w:tcPr>
            <w:tcW w:w="107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09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819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D762D" w:rsidRPr="00023434" w:rsidTr="009D762D">
        <w:trPr>
          <w:trHeight w:val="262"/>
        </w:trPr>
        <w:tc>
          <w:tcPr>
            <w:tcW w:w="7560" w:type="dxa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090" w:type="dxa"/>
            <w:vAlign w:val="center"/>
          </w:tcPr>
          <w:p w:rsidR="009D762D" w:rsidRPr="00070EEB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819" w:type="dxa"/>
            <w:vAlign w:val="center"/>
          </w:tcPr>
          <w:p w:rsidR="009D762D" w:rsidRPr="00023434" w:rsidRDefault="009D762D" w:rsidP="00017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9D762D" w:rsidRPr="00023434" w:rsidRDefault="009D762D" w:rsidP="009D762D">
      <w:pPr>
        <w:jc w:val="center"/>
        <w:rPr>
          <w:b/>
          <w:sz w:val="20"/>
          <w:szCs w:val="20"/>
        </w:rPr>
      </w:pPr>
    </w:p>
    <w:p w:rsidR="009D762D" w:rsidRDefault="009D762D" w:rsidP="009D762D">
      <w:pPr>
        <w:jc w:val="center"/>
        <w:rPr>
          <w:b/>
        </w:rPr>
      </w:pPr>
    </w:p>
    <w:p w:rsidR="00405F0C" w:rsidRPr="00893F22" w:rsidRDefault="00893F22" w:rsidP="00893F22">
      <w:pPr>
        <w:tabs>
          <w:tab w:val="left" w:pos="7939"/>
        </w:tabs>
      </w:pPr>
      <w:r>
        <w:tab/>
      </w:r>
    </w:p>
    <w:sectPr w:rsidR="00405F0C" w:rsidRPr="00893F22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8C" w:rsidRDefault="00C6168C">
      <w:r>
        <w:separator/>
      </w:r>
    </w:p>
  </w:endnote>
  <w:endnote w:type="continuationSeparator" w:id="0">
    <w:p w:rsidR="00C6168C" w:rsidRDefault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616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975120"/>
      <w:docPartObj>
        <w:docPartGallery w:val="Page Numbers (Bottom of Page)"/>
        <w:docPartUnique/>
      </w:docPartObj>
    </w:sdtPr>
    <w:sdtEndPr/>
    <w:sdtContent>
      <w:p w:rsidR="00893F22" w:rsidRDefault="00893F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37">
          <w:rPr>
            <w:noProof/>
          </w:rPr>
          <w:t>1</w:t>
        </w:r>
        <w:r>
          <w:fldChar w:fldCharType="end"/>
        </w:r>
      </w:p>
    </w:sdtContent>
  </w:sdt>
  <w:p w:rsidR="00A85AF6" w:rsidRDefault="00C6168C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8C" w:rsidRDefault="00C6168C">
      <w:r>
        <w:separator/>
      </w:r>
    </w:p>
  </w:footnote>
  <w:footnote w:type="continuationSeparator" w:id="0">
    <w:p w:rsidR="00C6168C" w:rsidRDefault="00C6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0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1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6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2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15"/>
  </w:num>
  <w:num w:numId="9">
    <w:abstractNumId w:val="32"/>
  </w:num>
  <w:num w:numId="10">
    <w:abstractNumId w:val="31"/>
  </w:num>
  <w:num w:numId="11">
    <w:abstractNumId w:val="9"/>
  </w:num>
  <w:num w:numId="12">
    <w:abstractNumId w:val="20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8"/>
  </w:num>
  <w:num w:numId="16">
    <w:abstractNumId w:val="17"/>
  </w:num>
  <w:num w:numId="17">
    <w:abstractNumId w:val="13"/>
  </w:num>
  <w:num w:numId="18">
    <w:abstractNumId w:val="30"/>
  </w:num>
  <w:num w:numId="19">
    <w:abstractNumId w:val="4"/>
  </w:num>
  <w:num w:numId="20">
    <w:abstractNumId w:val="3"/>
  </w:num>
  <w:num w:numId="21">
    <w:abstractNumId w:val="1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18"/>
  </w:num>
  <w:num w:numId="26">
    <w:abstractNumId w:val="19"/>
  </w:num>
  <w:num w:numId="27">
    <w:abstractNumId w:val="2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5"/>
  </w:num>
  <w:num w:numId="32">
    <w:abstractNumId w:val="26"/>
  </w:num>
  <w:num w:numId="33">
    <w:abstractNumId w:val="11"/>
  </w:num>
  <w:num w:numId="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87237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5769C"/>
    <w:rsid w:val="00493F11"/>
    <w:rsid w:val="00497CB6"/>
    <w:rsid w:val="0054273A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93F22"/>
    <w:rsid w:val="008A53D0"/>
    <w:rsid w:val="008D0E17"/>
    <w:rsid w:val="008D3484"/>
    <w:rsid w:val="009006F5"/>
    <w:rsid w:val="0093029C"/>
    <w:rsid w:val="0093440F"/>
    <w:rsid w:val="009417D9"/>
    <w:rsid w:val="00981D54"/>
    <w:rsid w:val="00994DDA"/>
    <w:rsid w:val="009B01AD"/>
    <w:rsid w:val="009D762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168C"/>
    <w:rsid w:val="00C62A50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2017-04-10T10:54:00Z</cp:lastPrinted>
  <dcterms:created xsi:type="dcterms:W3CDTF">2018-01-24T04:24:00Z</dcterms:created>
  <dcterms:modified xsi:type="dcterms:W3CDTF">2018-01-24T04:24:00Z</dcterms:modified>
</cp:coreProperties>
</file>